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55006F3A">
                <wp:simplePos x="0" y="0"/>
                <wp:positionH relativeFrom="margin">
                  <wp:posOffset>-9526</wp:posOffset>
                </wp:positionH>
                <wp:positionV relativeFrom="paragraph">
                  <wp:posOffset>88900</wp:posOffset>
                </wp:positionV>
                <wp:extent cx="6867525"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52425"/>
                        </a:xfrm>
                        <a:prstGeom prst="rect">
                          <a:avLst/>
                        </a:prstGeom>
                        <a:noFill/>
                        <a:ln w="9525">
                          <a:noFill/>
                          <a:miter lim="800000"/>
                          <a:headEnd/>
                          <a:tailEnd/>
                        </a:ln>
                      </wps:spPr>
                      <wps:txbx>
                        <w:txbxContent>
                          <w:p w14:paraId="738DAEE4" w14:textId="235FF60F" w:rsidR="00B80410" w:rsidRPr="000A69C4" w:rsidRDefault="0096326C" w:rsidP="0024476E">
                            <w:pPr>
                              <w:jc w:val="center"/>
                              <w:rPr>
                                <w:rFonts w:ascii="Perpetua" w:hAnsi="Perpetua"/>
                                <w:b/>
                                <w:color w:val="F47711"/>
                                <w:sz w:val="44"/>
                                <w:szCs w:val="44"/>
                              </w:rPr>
                            </w:pPr>
                            <w:r>
                              <w:rPr>
                                <w:rFonts w:ascii="Perpetua" w:hAnsi="Perpetua"/>
                                <w:b/>
                                <w:sz w:val="28"/>
                                <w:szCs w:val="28"/>
                              </w:rPr>
                              <w:t>Substance Use Treatment Referral</w:t>
                            </w:r>
                            <w:r w:rsidR="00B80410">
                              <w:rPr>
                                <w:rFonts w:ascii="Perpetua" w:hAnsi="Perpetua"/>
                                <w:b/>
                                <w:sz w:val="28"/>
                                <w:szCs w:val="2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75pt;margin-top:7pt;width:540.7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">
                <v:textbox>
                  <w:txbxContent>
                    <w:p w:rsidRPr="000A69C4" w:rsidR="00B80410" w:rsidP="0024476E" w:rsidRDefault="0096326C" w14:paraId="738DAEE4" w14:textId="235FF60F">
                      <w:pPr>
                        <w:jc w:val="center"/>
                        <w:rPr>
                          <w:rFonts w:ascii="Perpetua" w:hAnsi="Perpetua"/>
                          <w:b/>
                          <w:color w:val="F47711"/>
                          <w:sz w:val="44"/>
                          <w:szCs w:val="44"/>
                        </w:rPr>
                      </w:pPr>
                      <w:r>
                        <w:rPr>
                          <w:rFonts w:ascii="Perpetua" w:hAnsi="Perpetua"/>
                          <w:b/>
                          <w:sz w:val="28"/>
                          <w:szCs w:val="28"/>
                        </w:rPr>
                        <w:t>Substance Use Treatment Referral</w:t>
                      </w:r>
                      <w:r w:rsidR="00B80410">
                        <w:rPr>
                          <w:rFonts w:ascii="Perpetua" w:hAnsi="Perpetua"/>
                          <w:b/>
                          <w:sz w:val="28"/>
                          <w:szCs w:val="28"/>
                        </w:rPr>
                        <w:t xml:space="preserve"> Policy</w:t>
                      </w:r>
                    </w:p>
                  </w:txbxContent>
                </v:textbox>
                <w10:wrap anchorx="margin"/>
              </v:shape>
            </w:pict>
          </mc:Fallback>
        </mc:AlternateContent>
      </w:r>
    </w:p>
    <w:p w14:paraId="1A32F3F0" w14:textId="77777777" w:rsidR="00796B0B" w:rsidRDefault="00796B0B" w:rsidP="005A1613">
      <w:pPr>
        <w:rPr>
          <w:b/>
          <w:sz w:val="18"/>
        </w:rPr>
      </w:pPr>
    </w:p>
    <w:p w14:paraId="23D0DC2D" w14:textId="77777777" w:rsidR="00F06F07" w:rsidRDefault="00F06F07" w:rsidP="005A1613">
      <w:pPr>
        <w:rPr>
          <w:b/>
          <w:sz w:val="18"/>
        </w:rPr>
      </w:pPr>
    </w:p>
    <w:tbl>
      <w:tblPr>
        <w:tblpPr w:leftFromText="180" w:rightFromText="180"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671EDB5A">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7B5611A7" w14:textId="69DA2845" w:rsidR="005A6899" w:rsidRDefault="671EDB5A" w:rsidP="005A6899">
            <w:r w:rsidRPr="671EDB5A">
              <w:rPr>
                <w:b/>
                <w:bCs/>
              </w:rPr>
              <w:t>Substance Use Treatment Referral Policy</w:t>
            </w:r>
          </w:p>
          <w:p w14:paraId="2D4C253A" w14:textId="0E37521E" w:rsidR="0031560E" w:rsidRDefault="0031560E" w:rsidP="00B80410">
            <w:pPr>
              <w:jc w:val="center"/>
            </w:pPr>
          </w:p>
        </w:tc>
      </w:tr>
      <w:tr w:rsidR="671EDB5A" w14:paraId="33C05BF0" w14:textId="77777777" w:rsidTr="671EDB5A">
        <w:trPr>
          <w:trHeight w:val="698"/>
        </w:trPr>
        <w:tc>
          <w:tcPr>
            <w:tcW w:w="2155" w:type="dxa"/>
            <w:tcBorders>
              <w:top w:val="single" w:sz="4" w:space="0" w:color="auto"/>
              <w:left w:val="single" w:sz="4" w:space="0" w:color="auto"/>
              <w:bottom w:val="single" w:sz="4" w:space="0" w:color="auto"/>
              <w:right w:val="single" w:sz="4" w:space="0" w:color="auto"/>
            </w:tcBorders>
            <w:hideMark/>
          </w:tcPr>
          <w:p w14:paraId="03B58608" w14:textId="6CD7955C" w:rsidR="671EDB5A" w:rsidRDefault="671EDB5A" w:rsidP="671EDB5A">
            <w:pPr>
              <w:rPr>
                <w:b/>
                <w:bCs/>
              </w:rPr>
            </w:pPr>
            <w:bookmarkStart w:id="0" w:name="_GoBack" w:colFirst="1" w:colLast="1"/>
            <w:r w:rsidRPr="671EDB5A">
              <w:rPr>
                <w:b/>
                <w:bCs/>
              </w:rPr>
              <w:t>CONTEXT</w:t>
            </w:r>
          </w:p>
        </w:tc>
        <w:tc>
          <w:tcPr>
            <w:tcW w:w="7647" w:type="dxa"/>
            <w:tcBorders>
              <w:top w:val="single" w:sz="4" w:space="0" w:color="auto"/>
              <w:left w:val="single" w:sz="4" w:space="0" w:color="auto"/>
              <w:bottom w:val="single" w:sz="4" w:space="0" w:color="auto"/>
              <w:right w:val="single" w:sz="4" w:space="0" w:color="auto"/>
            </w:tcBorders>
          </w:tcPr>
          <w:p w14:paraId="4D2D7ECF" w14:textId="3DC4A233" w:rsidR="671EDB5A" w:rsidRDefault="671EDB5A" w:rsidP="671EDB5A">
            <w:pPr>
              <w:rPr>
                <w:rStyle w:val="HTMLTypewriter"/>
                <w:rFonts w:ascii="Times New Roman" w:hAnsi="Times New Roman" w:cs="Times New Roman"/>
                <w:sz w:val="24"/>
                <w:szCs w:val="24"/>
              </w:rPr>
            </w:pPr>
            <w:r w:rsidRPr="671EDB5A">
              <w:rPr>
                <w:rStyle w:val="HTMLTypewriter"/>
                <w:rFonts w:ascii="Times New Roman" w:hAnsi="Times New Roman" w:cs="Times New Roman"/>
                <w:sz w:val="24"/>
                <w:szCs w:val="24"/>
              </w:rPr>
              <w:t xml:space="preserve">Many persons experiencing unsheltered homelessness may need addiction treatment and services.  Below is one example of a policy to support outreach workers to assist the people they assist to access addiction treatment. Determining whether or not a person is insured is a common first step in that process.  Below is one example of such a policy for outreach workers, but this policy will need to be adapted to fit your community's addiction treatment system's referral procedures. </w:t>
            </w:r>
          </w:p>
        </w:tc>
      </w:tr>
      <w:bookmarkEnd w:id="0"/>
      <w:tr w:rsidR="005A6899" w14:paraId="13DF63BE" w14:textId="77777777" w:rsidTr="671EDB5A">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Pr="001332B4" w:rsidRDefault="671EDB5A" w:rsidP="671EDB5A">
            <w:pPr>
              <w:rPr>
                <w:b/>
                <w:bCs/>
              </w:rPr>
            </w:pPr>
            <w:r w:rsidRPr="671EDB5A">
              <w:rPr>
                <w:b/>
                <w:bCs/>
              </w:rPr>
              <w:t>POLICY</w:t>
            </w:r>
          </w:p>
        </w:tc>
        <w:tc>
          <w:tcPr>
            <w:tcW w:w="7647" w:type="dxa"/>
            <w:tcBorders>
              <w:top w:val="single" w:sz="4" w:space="0" w:color="auto"/>
              <w:left w:val="single" w:sz="4" w:space="0" w:color="auto"/>
              <w:bottom w:val="single" w:sz="4" w:space="0" w:color="auto"/>
              <w:right w:val="single" w:sz="4" w:space="0" w:color="auto"/>
            </w:tcBorders>
          </w:tcPr>
          <w:p w14:paraId="571CAEDF" w14:textId="08B5BF50" w:rsidR="0096326C" w:rsidRDefault="671EDB5A" w:rsidP="0096326C">
            <w:r w:rsidRPr="671EDB5A">
              <w:rPr>
                <w:rStyle w:val="HTMLTypewriter"/>
                <w:rFonts w:ascii="Times New Roman" w:hAnsi="Times New Roman" w:cs="Times New Roman"/>
                <w:sz w:val="24"/>
                <w:szCs w:val="24"/>
              </w:rPr>
              <w:t>A</w:t>
            </w:r>
            <w:r>
              <w:t>uthorization for substance abuse treatment is provided by</w:t>
            </w:r>
            <w:r w:rsidRPr="671EDB5A">
              <w:rPr>
                <w:b/>
                <w:bCs/>
              </w:rPr>
              <w:t xml:space="preserve"> [local provider]</w:t>
            </w:r>
            <w:r>
              <w:t xml:space="preserve"> for persons with health insurance or by</w:t>
            </w:r>
            <w:r w:rsidRPr="671EDB5A">
              <w:rPr>
                <w:b/>
                <w:bCs/>
              </w:rPr>
              <w:t xml:space="preserve"> [local provider]</w:t>
            </w:r>
            <w:r>
              <w:t xml:space="preserve"> for persons without health insurance.</w:t>
            </w:r>
          </w:p>
          <w:p w14:paraId="59F129DA" w14:textId="28476C91" w:rsidR="005A6899" w:rsidRPr="001332B4" w:rsidRDefault="005A6899" w:rsidP="005A6899"/>
        </w:tc>
      </w:tr>
      <w:tr w:rsidR="005A6899" w14:paraId="00C204D3" w14:textId="77777777" w:rsidTr="671EDB5A">
        <w:trPr>
          <w:trHeight w:val="563"/>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671EDB5A" w:rsidP="671EDB5A">
            <w:pPr>
              <w:rPr>
                <w:b/>
                <w:bCs/>
              </w:rPr>
            </w:pPr>
            <w:r w:rsidRPr="671EDB5A">
              <w:rPr>
                <w:b/>
                <w:bCs/>
              </w:rPr>
              <w:t>PURPOSE</w:t>
            </w:r>
          </w:p>
        </w:tc>
        <w:tc>
          <w:tcPr>
            <w:tcW w:w="7647" w:type="dxa"/>
            <w:tcBorders>
              <w:top w:val="single" w:sz="4" w:space="0" w:color="auto"/>
              <w:left w:val="single" w:sz="4" w:space="0" w:color="auto"/>
              <w:bottom w:val="single" w:sz="4" w:space="0" w:color="auto"/>
              <w:right w:val="single" w:sz="4" w:space="0" w:color="auto"/>
            </w:tcBorders>
          </w:tcPr>
          <w:p w14:paraId="7C23B41F" w14:textId="3F790AC6" w:rsidR="00B80410" w:rsidRPr="000D7C01" w:rsidRDefault="671EDB5A" w:rsidP="0096326C">
            <w:r>
              <w:t>To promote efficient and effective referrals to substance use treatment.</w:t>
            </w:r>
          </w:p>
        </w:tc>
      </w:tr>
      <w:tr w:rsidR="005A6899" w14:paraId="4AC6C34D" w14:textId="77777777" w:rsidTr="671EDB5A">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671EDB5A" w:rsidP="671EDB5A">
            <w:pPr>
              <w:rPr>
                <w:b/>
                <w:bCs/>
              </w:rPr>
            </w:pPr>
            <w:r w:rsidRPr="671EDB5A">
              <w:rPr>
                <w:b/>
                <w:bCs/>
              </w:rPr>
              <w:t>PROCEDURE</w:t>
            </w:r>
          </w:p>
        </w:tc>
        <w:tc>
          <w:tcPr>
            <w:tcW w:w="7647" w:type="dxa"/>
            <w:tcBorders>
              <w:top w:val="single" w:sz="4" w:space="0" w:color="auto"/>
              <w:left w:val="single" w:sz="4" w:space="0" w:color="auto"/>
              <w:bottom w:val="single" w:sz="4" w:space="0" w:color="auto"/>
              <w:right w:val="single" w:sz="4" w:space="0" w:color="auto"/>
            </w:tcBorders>
          </w:tcPr>
          <w:p w14:paraId="6EE3A037" w14:textId="0328DB3C" w:rsidR="0096326C" w:rsidRDefault="671EDB5A" w:rsidP="0096326C">
            <w:r>
              <w:t>If the person has no health insurance and no identification, the following procedure for referral to [local provider] should be followed:</w:t>
            </w:r>
          </w:p>
          <w:p w14:paraId="2D8642D6" w14:textId="77777777" w:rsidR="0096326C" w:rsidRDefault="0096326C" w:rsidP="0096326C"/>
          <w:p w14:paraId="12BED21A" w14:textId="77777777" w:rsidR="0096326C" w:rsidRDefault="671EDB5A" w:rsidP="0096326C">
            <w:r>
              <w:t xml:space="preserve">The outreach worker would contact [local provider] directly and ask for either [local contact] to present the individual for admission.  In this way, [local provider] is clear that this indeed is an Outreach client.  They are willing to override not only ID but also any funding guidelines or protocols that were/are in place. [Local provider] has created a specific target category for Outreach clients within the system to indicate that this client's life is dangerously impacted by their drug/alcohol use and, in many cases, these clients are of the co-occurring nature which requires a very comprehensive treatment plan and coordination of case management services available to them. </w:t>
            </w:r>
          </w:p>
          <w:p w14:paraId="3D8EF86D" w14:textId="77777777" w:rsidR="0096326C" w:rsidRPr="0096326C" w:rsidRDefault="0096326C" w:rsidP="0096326C">
            <w:pPr>
              <w:ind w:left="1080"/>
            </w:pPr>
          </w:p>
          <w:p w14:paraId="30DD444A" w14:textId="77777777" w:rsidR="0096326C" w:rsidRPr="0096326C" w:rsidRDefault="671EDB5A" w:rsidP="0096326C">
            <w:r>
              <w:t xml:space="preserve">Please note that in order for the individual to receive treatment through [local provider] without ID, it must be called in by an Outreach worker who identifies themselves as such and states that the client is a referral.  </w:t>
            </w:r>
          </w:p>
          <w:p w14:paraId="3391AACB" w14:textId="77777777" w:rsidR="0096326C" w:rsidRPr="0096326C" w:rsidRDefault="0096326C" w:rsidP="0096326C"/>
          <w:p w14:paraId="0BEAD3A9" w14:textId="7651F467" w:rsidR="001332B4" w:rsidRPr="00BA10CE" w:rsidRDefault="671EDB5A" w:rsidP="671EDB5A">
            <w:pPr>
              <w:spacing w:after="120" w:line="276" w:lineRule="auto"/>
              <w:rPr>
                <w:b/>
                <w:bCs/>
              </w:rPr>
            </w:pPr>
            <w:r>
              <w:t xml:space="preserve">The referral for treatment to a specific site must come from [local provider]. There is no way for a client to have direct unimpeded access to treatment unless the facility has been contacted and specific direction given to them by [local provider]. </w:t>
            </w:r>
            <w:r w:rsidRPr="671EDB5A">
              <w:rPr>
                <w:rStyle w:val="HTMLTypewriter"/>
              </w:rPr>
              <w:t xml:space="preserve"> </w:t>
            </w:r>
          </w:p>
        </w:tc>
      </w:tr>
    </w:tbl>
    <w:p w14:paraId="66AA2514" w14:textId="77777777" w:rsidR="005A6899" w:rsidRDefault="005A6899" w:rsidP="005A1613">
      <w:pPr>
        <w:rPr>
          <w:b/>
          <w:sz w:val="18"/>
        </w:rPr>
      </w:pPr>
    </w:p>
    <w:p w14:paraId="382A3F0D" w14:textId="77777777" w:rsidR="005A6899" w:rsidRDefault="005A6899" w:rsidP="005A1613">
      <w:pPr>
        <w:rPr>
          <w:b/>
          <w:sz w:val="18"/>
        </w:rPr>
      </w:pPr>
    </w:p>
    <w:p w14:paraId="47C19A95" w14:textId="77777777" w:rsidR="005A6899" w:rsidRDefault="005A6899" w:rsidP="005A1613">
      <w:pPr>
        <w:rPr>
          <w:b/>
          <w:sz w:val="18"/>
        </w:rPr>
      </w:pPr>
    </w:p>
    <w:p w14:paraId="285D5DAA" w14:textId="77777777" w:rsidR="005A6899" w:rsidRDefault="005A6899" w:rsidP="005A1613">
      <w:pPr>
        <w:rPr>
          <w:b/>
          <w:sz w:val="18"/>
        </w:rPr>
      </w:pPr>
    </w:p>
    <w:p w14:paraId="463F30B2" w14:textId="77777777" w:rsidR="005A6899" w:rsidRDefault="005A6899" w:rsidP="005A1613">
      <w:pPr>
        <w:rPr>
          <w:b/>
          <w:sz w:val="18"/>
        </w:rPr>
      </w:pPr>
    </w:p>
    <w:p w14:paraId="013C00B3" w14:textId="77777777" w:rsidR="005A6899" w:rsidRDefault="005A6899" w:rsidP="005A1613">
      <w:pPr>
        <w:rPr>
          <w:b/>
          <w:sz w:val="18"/>
        </w:rPr>
      </w:pPr>
    </w:p>
    <w:p w14:paraId="5421A472" w14:textId="77777777" w:rsidR="005A6899" w:rsidRDefault="005A6899" w:rsidP="005A1613">
      <w:pPr>
        <w:rPr>
          <w:b/>
          <w:sz w:val="18"/>
        </w:rPr>
      </w:pPr>
    </w:p>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5C15D70A" w:rsidR="00B80410" w:rsidRDefault="00997A36" w:rsidP="00F2650D">
    <w:pPr>
      <w:pStyle w:val="Footer"/>
    </w:pPr>
    <w:r w:rsidRPr="00997A36">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CE78867" w14:textId="77777777" w:rsidR="00997A36" w:rsidRPr="00B16423" w:rsidRDefault="00997A36"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E76A04"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4B150CC4" w:rsidR="00B80410" w:rsidRPr="000A69C4" w:rsidRDefault="00E76A04" w:rsidP="671EDB5A">
    <w:pPr>
      <w:pStyle w:val="Header"/>
      <w:tabs>
        <w:tab w:val="clear" w:pos="4680"/>
        <w:tab w:val="clear" w:pos="9360"/>
        <w:tab w:val="left" w:pos="1725"/>
      </w:tabs>
      <w:jc w:val="right"/>
      <w:rPr>
        <w:rFonts w:ascii="Perpetua" w:eastAsia="Perpetua" w:hAnsi="Perpetua" w:cs="Perpetua"/>
      </w:rPr>
    </w:pPr>
    <w:r>
      <w:rPr>
        <w:noProof/>
      </w:rPr>
      <w:drawing>
        <wp:anchor distT="0" distB="0" distL="114300" distR="114300" simplePos="0" relativeHeight="251658240" behindDoc="1" locked="0" layoutInCell="1" allowOverlap="1" wp14:anchorId="731D0E3D" wp14:editId="6B1AC662">
          <wp:simplePos x="0" y="0"/>
          <wp:positionH relativeFrom="column">
            <wp:posOffset>76200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B80410" w:rsidRPr="671EDB5A">
      <w:rPr>
        <w:rFonts w:ascii="Perpetua" w:eastAsia="Perpetua" w:hAnsi="Perpetua" w:cs="Perpetua"/>
      </w:rPr>
      <w:t>Policies &amp; Partners</w:t>
    </w:r>
  </w:p>
  <w:p w14:paraId="11B09ECE" w14:textId="2490BA64" w:rsidR="00B80410" w:rsidRPr="000D21CB" w:rsidRDefault="00B80410" w:rsidP="671EDB5A">
    <w:pPr>
      <w:pStyle w:val="Header"/>
      <w:tabs>
        <w:tab w:val="clear" w:pos="4680"/>
        <w:tab w:val="clear" w:pos="9360"/>
        <w:tab w:val="left" w:pos="1725"/>
      </w:tabs>
      <w:jc w:val="right"/>
      <w:rPr>
        <w:rFonts w:ascii="Perpetua" w:eastAsia="Perpetua" w:hAnsi="Perpetua" w:cs="Perpetua"/>
      </w:rPr>
    </w:pPr>
    <w:r>
      <w:tab/>
    </w:r>
    <w:r w:rsidRPr="671EDB5A">
      <w:rPr>
        <w:rFonts w:ascii="Perpetua" w:eastAsia="Perpetua" w:hAnsi="Perpetua" w:cs="Perpetua"/>
      </w:rPr>
      <w:t xml:space="preserve">Page </w:t>
    </w:r>
    <w:r w:rsidRPr="671EDB5A">
      <w:rPr>
        <w:rFonts w:ascii="Perpetua" w:eastAsia="Perpetua" w:hAnsi="Perpetua" w:cs="Perpetua"/>
        <w:b/>
        <w:bCs/>
        <w:noProof/>
      </w:rPr>
      <w:fldChar w:fldCharType="begin"/>
    </w:r>
    <w:r w:rsidRPr="000D21CB">
      <w:rPr>
        <w:rFonts w:ascii="Perpetua" w:hAnsi="Perpetua"/>
        <w:b/>
        <w:bCs/>
      </w:rPr>
      <w:instrText xml:space="preserve"> PAGE  \* Arabic  \* MERGEFORMAT </w:instrText>
    </w:r>
    <w:r w:rsidRPr="671EDB5A">
      <w:rPr>
        <w:rFonts w:ascii="Perpetua" w:hAnsi="Perpetua"/>
        <w:b/>
        <w:bCs/>
      </w:rPr>
      <w:fldChar w:fldCharType="separate"/>
    </w:r>
    <w:r w:rsidR="00E76A04" w:rsidRPr="00E76A04">
      <w:rPr>
        <w:rFonts w:ascii="Perpetua" w:eastAsia="Perpetua" w:hAnsi="Perpetua" w:cs="Perpetua"/>
        <w:b/>
        <w:bCs/>
        <w:noProof/>
      </w:rPr>
      <w:t>1</w:t>
    </w:r>
    <w:r w:rsidRPr="671EDB5A">
      <w:rPr>
        <w:rFonts w:ascii="Perpetua" w:eastAsia="Perpetua" w:hAnsi="Perpetua" w:cs="Perpetua"/>
        <w:b/>
        <w:bCs/>
        <w:noProof/>
      </w:rPr>
      <w:fldChar w:fldCharType="end"/>
    </w:r>
    <w:r w:rsidRPr="671EDB5A">
      <w:rPr>
        <w:rFonts w:ascii="Perpetua" w:eastAsia="Perpetua" w:hAnsi="Perpetua" w:cs="Perpetua"/>
      </w:rPr>
      <w:t xml:space="preserve"> of </w:t>
    </w:r>
    <w:r w:rsidRPr="671EDB5A">
      <w:rPr>
        <w:rFonts w:ascii="Perpetua" w:eastAsia="Perpetua" w:hAnsi="Perpetua" w:cs="Perpetua"/>
        <w:b/>
        <w:bCs/>
        <w:noProof/>
      </w:rPr>
      <w:fldChar w:fldCharType="begin"/>
    </w:r>
    <w:r w:rsidRPr="000D21CB">
      <w:rPr>
        <w:rFonts w:ascii="Perpetua" w:hAnsi="Perpetua"/>
        <w:b/>
        <w:bCs/>
      </w:rPr>
      <w:instrText xml:space="preserve"> NUMPAGES  \* Arabic  \* MERGEFORMAT </w:instrText>
    </w:r>
    <w:r w:rsidRPr="671EDB5A">
      <w:rPr>
        <w:rFonts w:ascii="Perpetua" w:hAnsi="Perpetua"/>
        <w:b/>
        <w:bCs/>
      </w:rPr>
      <w:fldChar w:fldCharType="separate"/>
    </w:r>
    <w:r w:rsidR="00E76A04" w:rsidRPr="00E76A04">
      <w:rPr>
        <w:rFonts w:ascii="Perpetua" w:eastAsia="Perpetua" w:hAnsi="Perpetua" w:cs="Perpetua"/>
        <w:b/>
        <w:bCs/>
        <w:noProof/>
      </w:rPr>
      <w:t>1</w:t>
    </w:r>
    <w:r w:rsidRPr="671EDB5A">
      <w:rPr>
        <w:rFonts w:ascii="Perpetua" w:eastAsia="Perpetua" w:hAnsi="Perpetua" w:cs="Perpetua"/>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08B"/>
    <w:multiLevelType w:val="hybridMultilevel"/>
    <w:tmpl w:val="263877E4"/>
    <w:lvl w:ilvl="0" w:tplc="E51C15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F962493"/>
    <w:multiLevelType w:val="hybridMultilevel"/>
    <w:tmpl w:val="856A9E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7A239C"/>
    <w:multiLevelType w:val="hybridMultilevel"/>
    <w:tmpl w:val="FE76B5CE"/>
    <w:lvl w:ilvl="0" w:tplc="C5DAD8B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85921"/>
    <w:multiLevelType w:val="hybridMultilevel"/>
    <w:tmpl w:val="669E3C12"/>
    <w:lvl w:ilvl="0" w:tplc="943A1E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96860"/>
    <w:multiLevelType w:val="hybridMultilevel"/>
    <w:tmpl w:val="0D4213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44220843"/>
    <w:multiLevelType w:val="hybridMultilevel"/>
    <w:tmpl w:val="50A4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86140"/>
    <w:multiLevelType w:val="hybridMultilevel"/>
    <w:tmpl w:val="3C8C1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69284C"/>
    <w:multiLevelType w:val="hybridMultilevel"/>
    <w:tmpl w:val="65F01B7A"/>
    <w:lvl w:ilvl="0" w:tplc="C5DAD8B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2"/>
    <w:lvlOverride w:ilvl="0">
      <w:startOverride w:val="1"/>
    </w:lvlOverride>
  </w:num>
  <w:num w:numId="4">
    <w:abstractNumId w:val="6"/>
  </w:num>
  <w:num w:numId="5">
    <w:abstractNumId w:val="10"/>
  </w:num>
  <w:num w:numId="6">
    <w:abstractNumId w:val="7"/>
  </w:num>
  <w:num w:numId="7">
    <w:abstractNumId w:val="1"/>
  </w:num>
  <w:num w:numId="8">
    <w:abstractNumId w:val="3"/>
  </w:num>
  <w:num w:numId="9">
    <w:abstractNumId w:val="5"/>
  </w:num>
  <w:num w:numId="10">
    <w:abstractNumId w:val="15"/>
  </w:num>
  <w:num w:numId="11">
    <w:abstractNumId w:val="9"/>
  </w:num>
  <w:num w:numId="12">
    <w:abstractNumId w:val="14"/>
  </w:num>
  <w:num w:numId="13">
    <w:abstractNumId w:val="13"/>
  </w:num>
  <w:num w:numId="14">
    <w:abstractNumId w:val="8"/>
  </w:num>
  <w:num w:numId="15">
    <w:abstractNumId w:val="18"/>
  </w:num>
  <w:num w:numId="16">
    <w:abstractNumId w:val="12"/>
  </w:num>
  <w:num w:numId="17">
    <w:abstractNumId w:val="17"/>
  </w:num>
  <w:num w:numId="18">
    <w:abstractNumId w:val="0"/>
  </w:num>
  <w:num w:numId="19">
    <w:abstractNumId w:val="4"/>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146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27855"/>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2B4"/>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43AA"/>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1792"/>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1D1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26C"/>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A3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92875"/>
    <w:rsid w:val="00B93D6F"/>
    <w:rsid w:val="00B96CB8"/>
    <w:rsid w:val="00B97B0E"/>
    <w:rsid w:val="00BA10C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4E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04D3"/>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361A"/>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A04"/>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671ED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 w:type="character" w:styleId="HTMLTypewriter">
    <w:name w:val="HTML Typewriter"/>
    <w:basedOn w:val="DefaultParagraphFont"/>
    <w:semiHidden/>
    <w:rsid w:val="009632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5B91-635D-401C-82CD-E65A8E2AC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2CBD2-D2D2-4B26-ADDB-B611A810CD0D}">
  <ds:schemaRefs>
    <ds:schemaRef ds:uri="http://schemas.microsoft.com/sharepoint/v3/contenttype/forms"/>
  </ds:schemaRefs>
</ds:datastoreItem>
</file>

<file path=customXml/itemProps3.xml><?xml version="1.0" encoding="utf-8"?>
<ds:datastoreItem xmlns:ds="http://schemas.openxmlformats.org/officeDocument/2006/customXml" ds:itemID="{DD620B3C-6989-4E70-A30F-A4BBDB6B90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523BA-45A6-4E08-B1AA-C0E6639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1798</Characters>
  <Application>Microsoft Office Word</Application>
  <DocSecurity>0</DocSecurity>
  <Lines>14</Lines>
  <Paragraphs>4</Paragraphs>
  <ScaleCrop>false</ScaleCrop>
  <Company>Corporation for Supportive Housing</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6</cp:revision>
  <cp:lastPrinted>2018-02-09T00:54:00Z</cp:lastPrinted>
  <dcterms:created xsi:type="dcterms:W3CDTF">2018-06-30T00:28:00Z</dcterms:created>
  <dcterms:modified xsi:type="dcterms:W3CDTF">2018-09-17T16:40:00Z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